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1E3" w14:textId="4F98A202" w:rsidR="006D13B7" w:rsidRPr="000C02BA" w:rsidRDefault="005939D1" w:rsidP="000C02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02BA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Pr="000C0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E42" w:rsidRPr="000C0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Corporate Social </w:t>
      </w:r>
      <w:proofErr w:type="gramStart"/>
      <w:r w:rsidR="00487E42" w:rsidRPr="000C0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Responsibility </w:t>
      </w:r>
      <w:r w:rsidR="00A36A7B" w:rsidRPr="000C02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A36A7B" w:rsidRPr="000C02BA">
        <w:rPr>
          <w:rFonts w:ascii="Times New Roman" w:hAnsi="Times New Roman" w:cs="Times New Roman"/>
          <w:b/>
          <w:bCs/>
          <w:sz w:val="24"/>
          <w:szCs w:val="24"/>
        </w:rPr>
        <w:t>CSR)</w:t>
      </w:r>
      <w:r w:rsidRPr="000C02BA">
        <w:rPr>
          <w:rFonts w:ascii="Times New Roman" w:hAnsi="Times New Roman" w:cs="Times New Roman"/>
          <w:b/>
          <w:bCs/>
          <w:sz w:val="24"/>
          <w:szCs w:val="24"/>
        </w:rPr>
        <w:t xml:space="preserve"> PT </w:t>
      </w:r>
      <w:proofErr w:type="spellStart"/>
      <w:r w:rsidRPr="000C02B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Realfood</w:t>
      </w:r>
      <w:proofErr w:type="spellEnd"/>
      <w:r w:rsidRPr="000C02B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C02B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Winta</w:t>
      </w:r>
      <w:proofErr w:type="spellEnd"/>
      <w:r w:rsidRPr="000C02B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Asia</w:t>
      </w:r>
    </w:p>
    <w:p w14:paraId="2275DB58" w14:textId="06EBEB40" w:rsidR="00E337E1" w:rsidRPr="000C02BA" w:rsidRDefault="00487E42" w:rsidP="000C02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Corporate Social </w:t>
      </w:r>
      <w:proofErr w:type="gramStart"/>
      <w:r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Responsibility </w:t>
      </w:r>
      <w:r w:rsidR="00E337E1" w:rsidRPr="000C02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CSR)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74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Undang</w:t>
      </w:r>
      <w:r w:rsidR="005939D1" w:rsidRPr="000C02BA">
        <w:rPr>
          <w:rFonts w:ascii="Times New Roman" w:hAnsi="Times New Roman" w:cs="Times New Roman"/>
          <w:sz w:val="24"/>
          <w:szCs w:val="24"/>
        </w:rPr>
        <w:t>-</w:t>
      </w:r>
      <w:r w:rsidR="00E337E1" w:rsidRPr="000C02B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Nomer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(UUPT) .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koprasi-koprasi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melaksanakanya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memberatkan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E1" w:rsidRPr="000C02B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337E1" w:rsidRPr="000C02BA">
        <w:rPr>
          <w:rFonts w:ascii="Times New Roman" w:hAnsi="Times New Roman" w:cs="Times New Roman"/>
          <w:sz w:val="24"/>
          <w:szCs w:val="24"/>
        </w:rPr>
        <w:t>.</w:t>
      </w:r>
    </w:p>
    <w:p w14:paraId="204545DC" w14:textId="3C87F523" w:rsidR="005939D1" w:rsidRPr="000C02BA" w:rsidRDefault="00B90997" w:rsidP="000C02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2BA">
        <w:rPr>
          <w:rFonts w:ascii="Times New Roman" w:hAnsi="Times New Roman" w:cs="Times New Roman"/>
          <w:sz w:val="24"/>
          <w:szCs w:val="24"/>
        </w:rPr>
        <w:t>I</w:t>
      </w:r>
      <w:r w:rsidR="005939D1" w:rsidRPr="000C02BA">
        <w:rPr>
          <w:rFonts w:ascii="Times New Roman" w:hAnsi="Times New Roman" w:cs="Times New Roman"/>
          <w:sz w:val="24"/>
          <w:szCs w:val="24"/>
        </w:rPr>
        <w:t>stilah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r w:rsidR="00487E42"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Corporate Social </w:t>
      </w:r>
      <w:proofErr w:type="gramStart"/>
      <w:r w:rsidR="00487E42"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Responsibility </w:t>
      </w:r>
      <w:r w:rsidR="005939D1" w:rsidRPr="000C02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CSR)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lain pada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CSR,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C02BA" w:rsidRPr="000C02BA">
        <w:rPr>
          <w:rFonts w:ascii="Times New Roman" w:hAnsi="Times New Roman" w:cs="Times New Roman"/>
          <w:sz w:val="24"/>
          <w:szCs w:val="24"/>
        </w:rPr>
        <w:tab/>
      </w:r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Budiarti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 xml:space="preserve"> &amp; Santoso </w:t>
      </w:r>
      <w:proofErr w:type="spellStart"/>
      <w:r w:rsidR="005939D1" w:rsidRPr="000C02BA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="005939D1" w:rsidRPr="000C02BA">
        <w:rPr>
          <w:rFonts w:ascii="Times New Roman" w:hAnsi="Times New Roman" w:cs="Times New Roman"/>
          <w:sz w:val="24"/>
          <w:szCs w:val="24"/>
        </w:rPr>
        <w:t>, 2013).</w:t>
      </w:r>
    </w:p>
    <w:p w14:paraId="2A8BAB0B" w14:textId="57D7A2F5" w:rsidR="00A02E81" w:rsidRPr="000C02BA" w:rsidRDefault="00A02E81" w:rsidP="000C02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Realfood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Winta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Bojonegoro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2011</w:t>
      </w:r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; PTK-017/SKKO0000/2018/SO.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(Community Development).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yang optimal dan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CSR yang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7ADF" w:rsidRPr="000C02B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327ADF" w:rsidRPr="000C02BA">
        <w:rPr>
          <w:rFonts w:ascii="Times New Roman" w:hAnsi="Times New Roman" w:cs="Times New Roman"/>
          <w:sz w:val="24"/>
          <w:szCs w:val="24"/>
        </w:rPr>
        <w:t>.</w:t>
      </w:r>
    </w:p>
    <w:p w14:paraId="0693775C" w14:textId="5B908E42" w:rsidR="00327ADF" w:rsidRPr="000C02BA" w:rsidRDefault="00327ADF" w:rsidP="000C02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Realfood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Winta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dikoordinasikan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>.</w:t>
      </w:r>
    </w:p>
    <w:p w14:paraId="53AE67F8" w14:textId="1C724CE1" w:rsidR="00F81FC4" w:rsidRPr="000C02BA" w:rsidRDefault="00487E42" w:rsidP="000C02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Corporate Social </w:t>
      </w:r>
      <w:proofErr w:type="gramStart"/>
      <w:r w:rsidRPr="000C02BA">
        <w:rPr>
          <w:rFonts w:ascii="Times New Roman" w:hAnsi="Times New Roman" w:cs="Times New Roman"/>
          <w:i/>
          <w:iCs/>
          <w:sz w:val="24"/>
          <w:szCs w:val="24"/>
        </w:rPr>
        <w:t xml:space="preserve">Responsibility </w:t>
      </w:r>
      <w:r w:rsidR="00F81FC4" w:rsidRPr="000C02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CSR)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pada 3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program CSR PT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Realfood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Winta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CSR juga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81FC4" w:rsidRPr="000C02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81FC4" w:rsidRPr="000C0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BEC97" w14:textId="148A9DF4" w:rsidR="00F81FC4" w:rsidRPr="000C02BA" w:rsidRDefault="00F81FC4" w:rsidP="000C02BA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oleh PT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Realfood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Winta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program CSR PT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Realfood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</w:rPr>
        <w:t>Winta</w:t>
      </w:r>
      <w:proofErr w:type="spellEnd"/>
      <w:r w:rsidRPr="000C02BA">
        <w:rPr>
          <w:rFonts w:ascii="Times New Roman" w:hAnsi="Times New Roman" w:cs="Times New Roman"/>
          <w:sz w:val="24"/>
          <w:szCs w:val="24"/>
        </w:rPr>
        <w:t xml:space="preserve"> Asia</w:t>
      </w:r>
      <w:r w:rsidR="005210F9" w:rsidRPr="000C02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210F9" w:rsidRPr="000C02B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5210F9" w:rsidRPr="000C0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F9" w:rsidRPr="000C02BA">
        <w:rPr>
          <w:rFonts w:ascii="Times New Roman" w:hAnsi="Times New Roman" w:cs="Times New Roman"/>
          <w:sz w:val="24"/>
          <w:szCs w:val="24"/>
        </w:rPr>
        <w:t>Matoh</w:t>
      </w:r>
      <w:proofErr w:type="spellEnd"/>
      <w:r w:rsidR="005210F9" w:rsidRPr="000C02BA">
        <w:rPr>
          <w:rFonts w:ascii="Times New Roman" w:hAnsi="Times New Roman" w:cs="Times New Roman"/>
          <w:sz w:val="24"/>
          <w:szCs w:val="24"/>
        </w:rPr>
        <w:t>”</w:t>
      </w:r>
      <w:r w:rsidR="003A086C" w:rsidRPr="000C02BA">
        <w:rPr>
          <w:rFonts w:ascii="Times New Roman" w:hAnsi="Times New Roman" w:cs="Times New Roman"/>
          <w:sz w:val="24"/>
          <w:szCs w:val="24"/>
        </w:rPr>
        <w:t xml:space="preserve"> </w:t>
      </w:r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jiwa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akal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demikianlah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kira-kira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impact yang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ingin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disampaikan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Realfood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berolahraga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ceria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namun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sambil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mengasah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kemampuan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otak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membuat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kerajinan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bermanfaat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mengkombinasikan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fisik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menyenangkan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kemeriahkan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kreatifitas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anak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lewat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karya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SD </w:t>
      </w:r>
      <w:proofErr w:type="spellStart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Deling</w:t>
      </w:r>
      <w:proofErr w:type="spellEnd"/>
      <w:r w:rsidR="003A086C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</w:t>
      </w:r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SDN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Kalirejo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di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Panti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Asuhan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Sosial Masyarakat CSR yang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donor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berbagi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sembako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sedangkan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Kesehatan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Realfood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Berbagi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2500 Program Ever Glow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ke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Dokter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Nakes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Dukung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Satgas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Covid 19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Lawan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Corona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seperti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komitmen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</w:rPr>
        <w:t>Realfood</w:t>
      </w:r>
      <w:proofErr w:type="spellEnd"/>
      <w:r w:rsidR="006D14D0" w:rsidRPr="000C02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berkomitmen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kontribusi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peperangan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melawan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Covid-19,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produsen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makanan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minuman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sehat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Kami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berharap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paling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bantuan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kecil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besar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membantu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para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perawat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dokter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berjuang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luar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sana</w:t>
      </w:r>
      <w:proofErr w:type="spellEnd"/>
      <w:r w:rsidR="00A9496B" w:rsidRPr="000C02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F2AE3C1" w14:textId="6D71E412" w:rsidR="00A9496B" w:rsidRPr="000C02BA" w:rsidRDefault="00A9496B" w:rsidP="000C02BA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C02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RUMUS</w:t>
      </w:r>
      <w:r w:rsidR="0081326C" w:rsidRPr="000C02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AN</w:t>
      </w:r>
      <w:r w:rsidRPr="000C02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MASALAH</w:t>
      </w:r>
    </w:p>
    <w:p w14:paraId="71EF959F" w14:textId="4028DF78" w:rsidR="006D14D0" w:rsidRPr="006D14D0" w:rsidRDefault="006D14D0" w:rsidP="000C02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4D0">
        <w:rPr>
          <w:rFonts w:ascii="Times New Roman" w:hAnsi="Times New Roman" w:cs="Times New Roman"/>
          <w:sz w:val="24"/>
          <w:szCs w:val="24"/>
          <w:lang w:val="id-ID"/>
        </w:rPr>
        <w:t xml:space="preserve">Seberapa tinggi tingkat </w:t>
      </w:r>
      <w:r w:rsidRPr="006D14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kepuasan </w:t>
      </w:r>
      <w:r w:rsidRPr="006D14D0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6D14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apresiasi </w:t>
      </w:r>
      <w:r w:rsidRPr="006D14D0">
        <w:rPr>
          <w:rFonts w:ascii="Times New Roman" w:hAnsi="Times New Roman" w:cs="Times New Roman"/>
          <w:sz w:val="24"/>
          <w:szCs w:val="24"/>
          <w:lang w:val="id-ID"/>
        </w:rPr>
        <w:t xml:space="preserve">masyarakat terhadap </w:t>
      </w:r>
      <w:r w:rsidRPr="000C02BA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C02BA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0C0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  <w:lang w:val="en-US"/>
        </w:rPr>
        <w:t>Matoh</w:t>
      </w:r>
      <w:proofErr w:type="spellEnd"/>
      <w:r w:rsidRPr="000C02BA"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proofErr w:type="spellStart"/>
      <w:r w:rsidRPr="000C02BA">
        <w:rPr>
          <w:rFonts w:ascii="Times New Roman" w:hAnsi="Times New Roman" w:cs="Times New Roman"/>
          <w:sz w:val="24"/>
          <w:szCs w:val="24"/>
          <w:lang w:val="en-US"/>
        </w:rPr>
        <w:t>Realfood</w:t>
      </w:r>
      <w:proofErr w:type="spellEnd"/>
      <w:r w:rsidRPr="000C0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2BA">
        <w:rPr>
          <w:rFonts w:ascii="Times New Roman" w:hAnsi="Times New Roman" w:cs="Times New Roman"/>
          <w:sz w:val="24"/>
          <w:szCs w:val="24"/>
          <w:lang w:val="en-US"/>
        </w:rPr>
        <w:t>Winta</w:t>
      </w:r>
      <w:proofErr w:type="spellEnd"/>
      <w:r w:rsidRPr="000C02BA">
        <w:rPr>
          <w:rFonts w:ascii="Times New Roman" w:hAnsi="Times New Roman" w:cs="Times New Roman"/>
          <w:sz w:val="24"/>
          <w:szCs w:val="24"/>
          <w:lang w:val="en-US"/>
        </w:rPr>
        <w:t xml:space="preserve"> Asia</w:t>
      </w:r>
      <w:r w:rsidRPr="006D14D0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3F4F159F" w14:textId="102DE2D0" w:rsidR="000C02BA" w:rsidRPr="000C02BA" w:rsidRDefault="006F1691" w:rsidP="000C02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691">
        <w:rPr>
          <w:rFonts w:ascii="Times New Roman" w:hAnsi="Times New Roman" w:cs="Times New Roman"/>
          <w:sz w:val="24"/>
          <w:szCs w:val="24"/>
          <w:lang w:val="id-ID"/>
        </w:rPr>
        <w:t xml:space="preserve"> Adakah pengaruh</w:t>
      </w:r>
      <w:r w:rsidR="000C02BA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6F169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C02BA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Generasi</w:t>
      </w:r>
      <w:proofErr w:type="spellEnd"/>
      <w:r w:rsidRPr="000C02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C02BA">
        <w:rPr>
          <w:rFonts w:ascii="Times New Roman" w:hAnsi="Times New Roman" w:cs="Times New Roman"/>
          <w:i/>
          <w:iCs/>
          <w:sz w:val="24"/>
          <w:szCs w:val="24"/>
          <w:lang w:val="en-US"/>
        </w:rPr>
        <w:t>Matoh</w:t>
      </w:r>
      <w:proofErr w:type="spellEnd"/>
      <w:r w:rsidRPr="006F169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6F1691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0C02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Kinerja </w:t>
      </w:r>
      <w:proofErr w:type="spellStart"/>
      <w:r w:rsidRPr="000C02BA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Karyawan</w:t>
      </w:r>
      <w:proofErr w:type="spellEnd"/>
      <w:r w:rsidRPr="006F169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sectPr w:rsidR="000C02BA" w:rsidRPr="000C02BA" w:rsidSect="008A7244">
      <w:headerReference w:type="default" r:id="rId7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CEC0" w14:textId="77777777" w:rsidR="00A55BC3" w:rsidRDefault="00A55BC3" w:rsidP="0033396D">
      <w:pPr>
        <w:spacing w:after="0" w:line="240" w:lineRule="auto"/>
      </w:pPr>
      <w:r>
        <w:separator/>
      </w:r>
    </w:p>
  </w:endnote>
  <w:endnote w:type="continuationSeparator" w:id="0">
    <w:p w14:paraId="3422AD01" w14:textId="77777777" w:rsidR="00A55BC3" w:rsidRDefault="00A55BC3" w:rsidP="0033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B96" w14:textId="77777777" w:rsidR="00A55BC3" w:rsidRDefault="00A55BC3" w:rsidP="0033396D">
      <w:pPr>
        <w:spacing w:after="0" w:line="240" w:lineRule="auto"/>
      </w:pPr>
      <w:r>
        <w:separator/>
      </w:r>
    </w:p>
  </w:footnote>
  <w:footnote w:type="continuationSeparator" w:id="0">
    <w:p w14:paraId="0AC56D7B" w14:textId="77777777" w:rsidR="00A55BC3" w:rsidRDefault="00A55BC3" w:rsidP="0033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90CD" w14:textId="77777777" w:rsidR="0033396D" w:rsidRDefault="0033396D" w:rsidP="0033396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1EDB2B5" w14:textId="77777777" w:rsidR="0033396D" w:rsidRDefault="0033396D" w:rsidP="0033396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FF696EA" w14:textId="5CBFB774" w:rsidR="0033396D" w:rsidRPr="0033396D" w:rsidRDefault="0033396D" w:rsidP="0033396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3396D">
      <w:rPr>
        <w:rFonts w:ascii="Times New Roman" w:hAnsi="Times New Roman" w:cs="Times New Roman"/>
        <w:b/>
        <w:bCs/>
        <w:sz w:val="24"/>
        <w:szCs w:val="24"/>
      </w:rPr>
      <w:t xml:space="preserve">Barotut Taqiyah, 19632011001, </w:t>
    </w:r>
    <w:proofErr w:type="spellStart"/>
    <w:r w:rsidRPr="0033396D">
      <w:rPr>
        <w:rFonts w:ascii="Times New Roman" w:hAnsi="Times New Roman" w:cs="Times New Roman"/>
        <w:b/>
        <w:bCs/>
        <w:sz w:val="24"/>
        <w:szCs w:val="24"/>
      </w:rPr>
      <w:t>Administrasi</w:t>
    </w:r>
    <w:proofErr w:type="spellEnd"/>
    <w:r w:rsidRPr="0033396D">
      <w:rPr>
        <w:rFonts w:ascii="Times New Roman" w:hAnsi="Times New Roman" w:cs="Times New Roman"/>
        <w:b/>
        <w:bCs/>
        <w:sz w:val="24"/>
        <w:szCs w:val="24"/>
      </w:rPr>
      <w:t xml:space="preserve"> Publik 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466"/>
    <w:multiLevelType w:val="hybridMultilevel"/>
    <w:tmpl w:val="6B6EF216"/>
    <w:lvl w:ilvl="0" w:tplc="F7228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E8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6B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C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6B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23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871B42"/>
    <w:multiLevelType w:val="hybridMultilevel"/>
    <w:tmpl w:val="5DF282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521B"/>
    <w:multiLevelType w:val="hybridMultilevel"/>
    <w:tmpl w:val="A202D4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3BB"/>
    <w:multiLevelType w:val="hybridMultilevel"/>
    <w:tmpl w:val="996C3F9E"/>
    <w:lvl w:ilvl="0" w:tplc="E2FC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03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61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C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6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E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E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6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B63373F"/>
    <w:multiLevelType w:val="hybridMultilevel"/>
    <w:tmpl w:val="ABE604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1F6A"/>
    <w:multiLevelType w:val="hybridMultilevel"/>
    <w:tmpl w:val="CCAC8A7A"/>
    <w:lvl w:ilvl="0" w:tplc="CC8A3E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EB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05F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A07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625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6D5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08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C8A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633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F5F65"/>
    <w:multiLevelType w:val="hybridMultilevel"/>
    <w:tmpl w:val="02C8063A"/>
    <w:lvl w:ilvl="0" w:tplc="93EC335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7"/>
    <w:rsid w:val="000C02BA"/>
    <w:rsid w:val="00327ADF"/>
    <w:rsid w:val="0033396D"/>
    <w:rsid w:val="003A086C"/>
    <w:rsid w:val="00487E42"/>
    <w:rsid w:val="005210F9"/>
    <w:rsid w:val="005939D1"/>
    <w:rsid w:val="006D13B7"/>
    <w:rsid w:val="006D14D0"/>
    <w:rsid w:val="006F1691"/>
    <w:rsid w:val="0081326C"/>
    <w:rsid w:val="008A7244"/>
    <w:rsid w:val="008C7452"/>
    <w:rsid w:val="00A02E81"/>
    <w:rsid w:val="00A36A7B"/>
    <w:rsid w:val="00A55BC3"/>
    <w:rsid w:val="00A9496B"/>
    <w:rsid w:val="00B90997"/>
    <w:rsid w:val="00C36856"/>
    <w:rsid w:val="00D27B96"/>
    <w:rsid w:val="00E07CBF"/>
    <w:rsid w:val="00E337E1"/>
    <w:rsid w:val="00F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6D33"/>
  <w15:chartTrackingRefBased/>
  <w15:docId w15:val="{39DF0ED0-EFE9-411A-A793-69812EC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D"/>
  </w:style>
  <w:style w:type="paragraph" w:styleId="Footer">
    <w:name w:val="footer"/>
    <w:basedOn w:val="Normal"/>
    <w:link w:val="FooterChar"/>
    <w:uiPriority w:val="99"/>
    <w:unhideWhenUsed/>
    <w:rsid w:val="0033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033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Barotut Taqiyah</dc:creator>
  <cp:keywords/>
  <dc:description/>
  <cp:lastModifiedBy>Barotut Taqiyah</cp:lastModifiedBy>
  <cp:revision>6</cp:revision>
  <dcterms:created xsi:type="dcterms:W3CDTF">2022-03-28T12:33:00Z</dcterms:created>
  <dcterms:modified xsi:type="dcterms:W3CDTF">2022-03-29T02:46:00Z</dcterms:modified>
</cp:coreProperties>
</file>